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C0B91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0"/>
        <w:jc w:val="center"/>
        <w:rPr>
          <w:rFonts w:hint="eastAsia" w:ascii="仿宋_GB2312" w:hAnsi="仿宋_GB2312" w:eastAsia="仿宋_GB2312" w:cs="仿宋_GB2312"/>
          <w:i w:val="0"/>
          <w:iCs w:val="0"/>
          <w:caps w:val="0"/>
          <w:color w:val="000000"/>
          <w:spacing w:val="0"/>
          <w:sz w:val="32"/>
          <w:szCs w:val="32"/>
        </w:rPr>
      </w:pPr>
      <w:r>
        <w:rPr>
          <w:rStyle w:val="5"/>
          <w:rFonts w:hint="eastAsia" w:ascii="仿宋_GB2312" w:hAnsi="仿宋_GB2312" w:eastAsia="仿宋_GB2312" w:cs="仿宋_GB2312"/>
          <w:i w:val="0"/>
          <w:iCs w:val="0"/>
          <w:caps w:val="0"/>
          <w:color w:val="000000"/>
          <w:spacing w:val="0"/>
          <w:sz w:val="32"/>
          <w:szCs w:val="32"/>
          <w:bdr w:val="none" w:color="auto" w:sz="0" w:space="0"/>
          <w:shd w:val="clear" w:fill="FFFFFF"/>
        </w:rPr>
        <w:t>第三节 转让登记</w:t>
      </w:r>
    </w:p>
    <w:p w14:paraId="53076F0F">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仿宋_GB2312" w:hAnsi="仿宋_GB2312" w:eastAsia="仿宋_GB2312" w:cs="仿宋_GB2312"/>
          <w:i w:val="0"/>
          <w:iCs w:val="0"/>
          <w:caps w:val="0"/>
          <w:color w:val="000000"/>
          <w:spacing w:val="0"/>
          <w:sz w:val="32"/>
          <w:szCs w:val="32"/>
        </w:rPr>
      </w:pPr>
      <w:r>
        <w:rPr>
          <w:rStyle w:val="5"/>
          <w:rFonts w:hint="eastAsia" w:ascii="仿宋_GB2312" w:hAnsi="仿宋_GB2312" w:eastAsia="仿宋_GB2312" w:cs="仿宋_GB2312"/>
          <w:i w:val="0"/>
          <w:iCs w:val="0"/>
          <w:caps w:val="0"/>
          <w:color w:val="000000"/>
          <w:spacing w:val="0"/>
          <w:sz w:val="32"/>
          <w:szCs w:val="32"/>
          <w:bdr w:val="none" w:color="auto" w:sz="0" w:space="0"/>
          <w:shd w:val="clear" w:fill="FFFFFF"/>
        </w:rPr>
        <w:t>第二十五条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已注册登记的机动车所有权发生转让的，现机动车所有人应当自机动车交付之日起三十日内向登记地车辆管理所申请转让登记。</w:t>
      </w:r>
    </w:p>
    <w:p w14:paraId="46A2FB1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机动车所有人申请转让登记前，应当将涉及该车的道路交通安全违法行为和交通事故处理完毕。</w:t>
      </w:r>
    </w:p>
    <w:p w14:paraId="62939EC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仿宋_GB2312" w:hAnsi="仿宋_GB2312" w:eastAsia="仿宋_GB2312" w:cs="仿宋_GB2312"/>
          <w:i w:val="0"/>
          <w:iCs w:val="0"/>
          <w:caps w:val="0"/>
          <w:color w:val="000000"/>
          <w:spacing w:val="0"/>
          <w:sz w:val="32"/>
          <w:szCs w:val="32"/>
        </w:rPr>
      </w:pPr>
      <w:r>
        <w:rPr>
          <w:rStyle w:val="5"/>
          <w:rFonts w:hint="eastAsia" w:ascii="仿宋_GB2312" w:hAnsi="仿宋_GB2312" w:eastAsia="仿宋_GB2312" w:cs="仿宋_GB2312"/>
          <w:i w:val="0"/>
          <w:iCs w:val="0"/>
          <w:caps w:val="0"/>
          <w:color w:val="000000"/>
          <w:spacing w:val="0"/>
          <w:sz w:val="32"/>
          <w:szCs w:val="32"/>
          <w:bdr w:val="none" w:color="auto" w:sz="0" w:space="0"/>
          <w:shd w:val="clear" w:fill="FFFFFF"/>
        </w:rPr>
        <w:t>第二十六条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申请转让登记的，现</w:t>
      </w:r>
      <w:bookmarkStart w:id="0" w:name="_GoBack"/>
      <w:bookmarkEnd w:id="0"/>
      <w:r>
        <w:rPr>
          <w:rFonts w:hint="eastAsia" w:ascii="仿宋_GB2312" w:hAnsi="仿宋_GB2312" w:eastAsia="仿宋_GB2312" w:cs="仿宋_GB2312"/>
          <w:i w:val="0"/>
          <w:iCs w:val="0"/>
          <w:caps w:val="0"/>
          <w:color w:val="000000"/>
          <w:spacing w:val="0"/>
          <w:sz w:val="32"/>
          <w:szCs w:val="32"/>
          <w:bdr w:val="none" w:color="auto" w:sz="0" w:space="0"/>
          <w:shd w:val="clear" w:fill="FFFFFF"/>
        </w:rPr>
        <w:t>机动车所有人应当交验机动车，确认申请信息，并提交以下证明、凭证：</w:t>
      </w:r>
    </w:p>
    <w:p w14:paraId="65E6797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（一）现机动车所有人的身份证明；</w:t>
      </w:r>
    </w:p>
    <w:p w14:paraId="3CA2CC0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（二）机动车所有权转让的证明、凭证；</w:t>
      </w:r>
    </w:p>
    <w:p w14:paraId="5E09B417">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（三）机动车登记证书；</w:t>
      </w:r>
    </w:p>
    <w:p w14:paraId="26EC212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（四）机动车行驶证；</w:t>
      </w:r>
    </w:p>
    <w:p w14:paraId="5B877729">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（五）属于海关监管的机动车，还应当提交海关监管车辆解除监管证明书或者海关批准的转让证明；</w:t>
      </w:r>
    </w:p>
    <w:p w14:paraId="51E78F3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（六）属于超过检验有效期的机动车，还应当提交机动车安全技术检验合格证明和交通事故责任强制保险凭证。</w:t>
      </w:r>
    </w:p>
    <w:p w14:paraId="4B498800">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车辆管理所应当自受理申请之日起一日内，查验机动车，核对车辆识别代号拓印膜或者电子资料，审查提交的证明、凭证，收回号牌、行驶证，确定新的机动车号牌号码，在机动车登记证书上签注转让事项，重新核发号牌、行驶证和检验合格标志。</w:t>
      </w:r>
    </w:p>
    <w:p w14:paraId="4EE5F83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在机动车抵押登记期间申请转让登记的，应当由原机动车所有人、现机动车所有人和抵押权人共同申请，车辆管理所一并办理新的抵押登记。</w:t>
      </w:r>
    </w:p>
    <w:p w14:paraId="228D3BA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在机动车质押备案期间申请转让登记的，应当由原机动车所有人、现机动车所有人和质权人共同申请，车辆管理所一并办理新的质押备案。</w:t>
      </w:r>
    </w:p>
    <w:p w14:paraId="06C92CA6">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仿宋_GB2312" w:hAnsi="仿宋_GB2312" w:eastAsia="仿宋_GB2312" w:cs="仿宋_GB2312"/>
          <w:i w:val="0"/>
          <w:iCs w:val="0"/>
          <w:caps w:val="0"/>
          <w:color w:val="000000"/>
          <w:spacing w:val="0"/>
          <w:sz w:val="32"/>
          <w:szCs w:val="32"/>
        </w:rPr>
      </w:pPr>
      <w:r>
        <w:rPr>
          <w:rStyle w:val="5"/>
          <w:rFonts w:hint="eastAsia" w:ascii="仿宋_GB2312" w:hAnsi="仿宋_GB2312" w:eastAsia="仿宋_GB2312" w:cs="仿宋_GB2312"/>
          <w:i w:val="0"/>
          <w:iCs w:val="0"/>
          <w:caps w:val="0"/>
          <w:color w:val="000000"/>
          <w:spacing w:val="0"/>
          <w:sz w:val="32"/>
          <w:szCs w:val="32"/>
          <w:bdr w:val="none" w:color="auto" w:sz="0" w:space="0"/>
          <w:shd w:val="clear" w:fill="FFFFFF"/>
        </w:rPr>
        <w:t>第二十七条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车辆管理所办理转让登记时，现机动车所有人住所不在车辆管理所管辖区域内的，转出地车辆管理所应当自受理之日起三日内，查验机动车，核对车辆识别代号拓印膜或者电子资料，审查提交的证明、凭证，收回号牌、行驶证，在机动车登记证书上签注转让和变更事项，核发有效期为三十日的临时行驶车号牌，制作上传机动车电子档案资料。机动车所有人应当在临时行驶车号牌的有效期限内到转入地车辆管理所申请机动车转入。</w:t>
      </w:r>
    </w:p>
    <w:p w14:paraId="78033402">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申请机动车转入时，机动车所有人应当确认申请信息，提交身份证明、机动车登记证书，并交验机动车。机动车在转入时已超过检验有效期的，应当按规定进行安全技术检验并提交机动车安全技术检验合格证明和交通事故责任强制保险凭证。转入地车辆管理所应当自受理之日起三日内，查验机动车，采集、核对车辆识别代号拓印膜或者电子资料，审查相关证明、凭证和机动车电子档案资料，在机动车登记证书上签注转入信息，核发号牌、行驶证和检验合格标志。</w:t>
      </w:r>
    </w:p>
    <w:p w14:paraId="0C07E3F1">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小型、微型载客汽车或者摩托车在转入地交易的，现机动车所有人应当向转入地车辆管理所申请转让登记。</w:t>
      </w:r>
    </w:p>
    <w:p w14:paraId="47679C8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仿宋_GB2312" w:hAnsi="仿宋_GB2312" w:eastAsia="仿宋_GB2312" w:cs="仿宋_GB2312"/>
          <w:i w:val="0"/>
          <w:iCs w:val="0"/>
          <w:caps w:val="0"/>
          <w:color w:val="000000"/>
          <w:spacing w:val="0"/>
          <w:sz w:val="32"/>
          <w:szCs w:val="32"/>
        </w:rPr>
      </w:pPr>
      <w:r>
        <w:rPr>
          <w:rStyle w:val="5"/>
          <w:rFonts w:hint="eastAsia" w:ascii="仿宋_GB2312" w:hAnsi="仿宋_GB2312" w:eastAsia="仿宋_GB2312" w:cs="仿宋_GB2312"/>
          <w:i w:val="0"/>
          <w:iCs w:val="0"/>
          <w:caps w:val="0"/>
          <w:color w:val="000000"/>
          <w:spacing w:val="0"/>
          <w:sz w:val="32"/>
          <w:szCs w:val="32"/>
          <w:bdr w:val="none" w:color="auto" w:sz="0" w:space="0"/>
          <w:shd w:val="clear" w:fill="FFFFFF"/>
        </w:rPr>
        <w:t>第二十八条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二手车出口企业收购机动车的，车辆管理所应当自受理之日起三日内，查验机动车，核对车辆识别代号拓印膜或者电子资料，审查提交的证明、凭证，在机动车登记证书上签注转让待出口事项，收回号牌、行驶证，核发有效期不超过六十日的临时行驶车号牌。</w:t>
      </w:r>
    </w:p>
    <w:p w14:paraId="3579406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仿宋_GB2312" w:hAnsi="仿宋_GB2312" w:eastAsia="仿宋_GB2312" w:cs="仿宋_GB2312"/>
          <w:i w:val="0"/>
          <w:iCs w:val="0"/>
          <w:caps w:val="0"/>
          <w:color w:val="000000"/>
          <w:spacing w:val="0"/>
          <w:sz w:val="32"/>
          <w:szCs w:val="32"/>
        </w:rPr>
      </w:pPr>
      <w:r>
        <w:rPr>
          <w:rStyle w:val="5"/>
          <w:rFonts w:hint="eastAsia" w:ascii="仿宋_GB2312" w:hAnsi="仿宋_GB2312" w:eastAsia="仿宋_GB2312" w:cs="仿宋_GB2312"/>
          <w:i w:val="0"/>
          <w:iCs w:val="0"/>
          <w:caps w:val="0"/>
          <w:color w:val="000000"/>
          <w:spacing w:val="0"/>
          <w:sz w:val="32"/>
          <w:szCs w:val="32"/>
          <w:bdr w:val="none" w:color="auto" w:sz="0" w:space="0"/>
          <w:shd w:val="clear" w:fill="FFFFFF"/>
        </w:rPr>
        <w:t>第二十九条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有下列情形之一的，不予办理转让登记：</w:t>
      </w:r>
    </w:p>
    <w:p w14:paraId="3304C173">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（一）机动车与该车档案记载内容不一致的；</w:t>
      </w:r>
    </w:p>
    <w:p w14:paraId="0810A39E">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（二）属于海关监管的机动车，海关未解除监管或者批准转让的；</w:t>
      </w:r>
    </w:p>
    <w:p w14:paraId="58B56BAD">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（三）距机动车强制报废标准规定要求使用年限一年以内的机动车；</w:t>
      </w:r>
    </w:p>
    <w:p w14:paraId="7FB25F8A">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仿宋_GB2312" w:hAnsi="仿宋_GB2312" w:eastAsia="仿宋_GB2312" w:cs="仿宋_GB2312"/>
          <w:i w:val="0"/>
          <w:iCs w:val="0"/>
          <w:caps w:val="0"/>
          <w:color w:val="000000"/>
          <w:spacing w:val="0"/>
          <w:sz w:val="32"/>
          <w:szCs w:val="32"/>
        </w:rPr>
      </w:pPr>
      <w:r>
        <w:rPr>
          <w:rFonts w:hint="eastAsia" w:ascii="仿宋_GB2312" w:hAnsi="仿宋_GB2312" w:eastAsia="仿宋_GB2312" w:cs="仿宋_GB2312"/>
          <w:i w:val="0"/>
          <w:iCs w:val="0"/>
          <w:caps w:val="0"/>
          <w:color w:val="000000"/>
          <w:spacing w:val="0"/>
          <w:sz w:val="32"/>
          <w:szCs w:val="32"/>
          <w:bdr w:val="none" w:color="auto" w:sz="0" w:space="0"/>
          <w:shd w:val="clear" w:fill="FFFFFF"/>
        </w:rPr>
        <w:t>（四）属于第十五条第一项、第二项、第七项、第八项、第九项规定情形的。</w:t>
      </w:r>
    </w:p>
    <w:p w14:paraId="1B2ECFF8">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210" w:beforeAutospacing="0" w:after="0" w:afterAutospacing="0" w:line="480" w:lineRule="atLeast"/>
        <w:ind w:left="0" w:right="0" w:firstLine="420"/>
        <w:jc w:val="both"/>
        <w:rPr>
          <w:rFonts w:hint="eastAsia" w:ascii="仿宋_GB2312" w:hAnsi="仿宋_GB2312" w:eastAsia="仿宋_GB2312" w:cs="仿宋_GB2312"/>
          <w:i w:val="0"/>
          <w:iCs w:val="0"/>
          <w:caps w:val="0"/>
          <w:color w:val="000000"/>
          <w:spacing w:val="0"/>
          <w:sz w:val="32"/>
          <w:szCs w:val="32"/>
        </w:rPr>
      </w:pPr>
      <w:r>
        <w:rPr>
          <w:rStyle w:val="5"/>
          <w:rFonts w:hint="eastAsia" w:ascii="仿宋_GB2312" w:hAnsi="仿宋_GB2312" w:eastAsia="仿宋_GB2312" w:cs="仿宋_GB2312"/>
          <w:i w:val="0"/>
          <w:iCs w:val="0"/>
          <w:caps w:val="0"/>
          <w:color w:val="000000"/>
          <w:spacing w:val="0"/>
          <w:sz w:val="32"/>
          <w:szCs w:val="32"/>
          <w:bdr w:val="none" w:color="auto" w:sz="0" w:space="0"/>
          <w:shd w:val="clear" w:fill="FFFFFF"/>
        </w:rPr>
        <w:t>第三十条</w:t>
      </w:r>
      <w:r>
        <w:rPr>
          <w:rFonts w:hint="eastAsia" w:ascii="仿宋_GB2312" w:hAnsi="仿宋_GB2312" w:eastAsia="仿宋_GB2312" w:cs="仿宋_GB2312"/>
          <w:i w:val="0"/>
          <w:iCs w:val="0"/>
          <w:caps w:val="0"/>
          <w:color w:val="000000"/>
          <w:spacing w:val="0"/>
          <w:sz w:val="32"/>
          <w:szCs w:val="32"/>
          <w:bdr w:val="none" w:color="auto" w:sz="0" w:space="0"/>
          <w:shd w:val="clear" w:fill="FFFFFF"/>
        </w:rPr>
        <w:t>  被监察机关、人民法院、人民检察院、行政执法部门依法没收并拍卖，或者被仲裁机构依法仲裁裁决，或者被监察机关依法处理，或者被人民法院调解、裁定、判决机动车所有权转让时，原机动车所有人未向现机动车所有人提供机动车登记证书、号牌或者行驶证的，现机动车所有人在办理转让登记时，应当提交监察机关或者人民法院出具的未得到机动车登记证书、号牌或者行驶证的协助执行通知书，或者人民检察院、行政执法部门出具的未得到机动车登记证书、号牌或者行驶证的证明。车辆管理所应当公告原机动车登记证书、号牌或者行驶证作废，并在办理转让登记的同时，补发机动车登记证书。</w:t>
      </w:r>
    </w:p>
    <w:p w14:paraId="5E82DB20">
      <w:pPr>
        <w:rPr>
          <w:rFonts w:hint="eastAsia" w:ascii="仿宋_GB2312" w:hAnsi="仿宋_GB2312" w:eastAsia="仿宋_GB2312" w:cs="仿宋_GB2312"/>
          <w:sz w:val="32"/>
          <w:szCs w:val="32"/>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0765893"/>
    <w:rsid w:val="6076589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0</Words>
  <Characters>0</Characters>
  <Lines>0</Lines>
  <Paragraphs>0</Paragraphs>
  <TotalTime>3</TotalTime>
  <ScaleCrop>false</ScaleCrop>
  <LinksUpToDate>false</LinksUpToDate>
  <CharactersWithSpaces>0</CharactersWithSpaces>
  <Application>WPS Office_12.1.0.18912_F1E327BC-269C-435d-A152-05C5408002CA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2024-11-18T06:28:00Z</dcterms:created>
  <dc:creator>鱼</dc:creator>
  <cp:lastModifiedBy>鱼</cp:lastModifiedBy>
  <dcterms:modified xsi:type="dcterms:W3CDTF">2024-11-18T06:31:53Z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2052-12.1.0.18912</vt:lpwstr>
  </property>
  <property fmtid="{D5CDD505-2E9C-101B-9397-08002B2CF9AE}" pid="3" name="ICV">
    <vt:lpwstr>911EAEA85C6646999BEBA6EBC64A5890_11</vt:lpwstr>
  </property>
</Properties>
</file>